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8" w:type="dxa"/>
        <w:tblLayout w:type="fixed"/>
        <w:tblLook w:val="04A0" w:firstRow="1" w:lastRow="0" w:firstColumn="1" w:lastColumn="0" w:noHBand="0" w:noVBand="1"/>
      </w:tblPr>
      <w:tblGrid>
        <w:gridCol w:w="777"/>
        <w:gridCol w:w="6452"/>
        <w:gridCol w:w="1480"/>
        <w:gridCol w:w="2030"/>
        <w:gridCol w:w="1242"/>
        <w:gridCol w:w="1230"/>
        <w:gridCol w:w="1327"/>
      </w:tblGrid>
      <w:tr w:rsidR="004E6E1A" w:rsidRPr="00EC54C3" w14:paraId="7F609A03" w14:textId="77777777" w:rsidTr="00EC54C3">
        <w:trPr>
          <w:trHeight w:val="1950"/>
          <w:tblHeader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111F" w14:textId="77777777" w:rsidR="004E6E1A" w:rsidRPr="00EC54C3" w:rsidRDefault="004E6E1A" w:rsidP="00054F8A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STT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C9B2" w14:textId="77777777" w:rsidR="004E6E1A" w:rsidRPr="00EC54C3" w:rsidRDefault="004E6E1A" w:rsidP="00054F8A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Tên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thủ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tục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A02E" w14:textId="77777777" w:rsidR="004E6E1A" w:rsidRPr="00EC54C3" w:rsidRDefault="004E6E1A" w:rsidP="00054F8A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b/>
                <w:bCs/>
                <w:sz w:val="26"/>
                <w:szCs w:val="26"/>
                <w:lang w:val="en-US" w:eastAsia="en-US"/>
              </w:rPr>
              <w:t>Mã</w:t>
            </w:r>
            <w:proofErr w:type="spellEnd"/>
            <w:r w:rsidRPr="00EC54C3">
              <w:rPr>
                <w:b/>
                <w:bCs/>
                <w:sz w:val="26"/>
                <w:szCs w:val="26"/>
                <w:lang w:val="en-US" w:eastAsia="en-US"/>
              </w:rPr>
              <w:t xml:space="preserve"> TTHC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01D8" w14:textId="77777777" w:rsidR="004E6E1A" w:rsidRPr="00EC54C3" w:rsidRDefault="004E6E1A" w:rsidP="00054F8A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7C23" w14:textId="77777777" w:rsidR="004E6E1A" w:rsidRPr="00EC54C3" w:rsidRDefault="004E6E1A" w:rsidP="00054F8A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trả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kết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quả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F4D3" w14:textId="77777777" w:rsidR="004E6E1A" w:rsidRPr="00EC54C3" w:rsidRDefault="004E6E1A" w:rsidP="00054F8A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giải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quyết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trả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kết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quả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1FA3" w14:textId="77777777" w:rsidR="004E6E1A" w:rsidRPr="00EC54C3" w:rsidRDefault="004E6E1A" w:rsidP="00EC54C3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Văn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bản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TTHC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văn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bản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phân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ủy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quyền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giải</w:t>
            </w:r>
            <w:proofErr w:type="spellEnd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quyết</w:t>
            </w:r>
            <w:proofErr w:type="spellEnd"/>
          </w:p>
        </w:tc>
      </w:tr>
      <w:tr w:rsidR="004E6E1A" w:rsidRPr="00EC54C3" w14:paraId="747F76BC" w14:textId="77777777" w:rsidTr="00EC54C3">
        <w:trPr>
          <w:trHeight w:val="5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5136" w14:textId="37FAE652" w:rsidR="004E6E1A" w:rsidRPr="00EC54C3" w:rsidRDefault="00EC54C3" w:rsidP="00054F8A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V</w:t>
            </w:r>
            <w:r w:rsidR="004E6E1A"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62A7" w14:textId="77777777" w:rsidR="004E6E1A" w:rsidRPr="00EC54C3" w:rsidRDefault="004E6E1A" w:rsidP="00EC54C3">
            <w:pPr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SỞ Y TẾ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78EE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419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075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7BC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6B7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DA8AFF3" w14:textId="77777777" w:rsidTr="00EC54C3">
        <w:trPr>
          <w:trHeight w:val="1556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FC5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5AC4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(bao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gồm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khoản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1, 2, 4, 5, 6, 7, 8, 9, 10, 11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28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Luật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Dược)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hình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DDC7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1.014092.H55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0D8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00E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D6C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214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FD2A27D" w14:textId="77777777" w:rsidTr="00EC54C3">
        <w:trPr>
          <w:trHeight w:val="1061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E85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8DE8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hình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ghi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sai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lỗi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quan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9C3A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1.014099.H55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379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502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E02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246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7D64B57" w14:textId="77777777" w:rsidTr="00EC54C3">
        <w:trPr>
          <w:trHeight w:val="8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872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B2D1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hình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hỏng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D910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1.014100.H55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0C2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4AF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515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B3F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A56DB0F" w14:textId="77777777" w:rsidTr="00EC54C3">
        <w:trPr>
          <w:trHeight w:val="8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2F2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EB19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hình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13CB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1.014101.H55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3A5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305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688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EFD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1282E9D" w14:textId="77777777" w:rsidTr="00EC54C3">
        <w:trPr>
          <w:trHeight w:val="151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7AB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3F2F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doanh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buôn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;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bao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gồm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quầy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D374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1.014076.H55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D9C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F8C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326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399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7061F04" w14:textId="77777777" w:rsidTr="00EC54C3">
        <w:trPr>
          <w:trHeight w:val="179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2D0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3AC5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doanh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buôn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;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bao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gồm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quầy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5262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1.014104.H55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69F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20C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FEB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71D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638FDCE" w14:textId="77777777" w:rsidTr="00EC54C3"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DB7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ECC5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Thông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36AD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1.014102.H55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877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49A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583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7B0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60EFBDC" w14:textId="77777777" w:rsidTr="00EC54C3"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87E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6802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doanh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kệ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EC78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1.014069.H55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85F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54C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66C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DBC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15264AB" w14:textId="77777777" w:rsidTr="00EC54C3"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201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9474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phóng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0346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1.001396.H55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8C2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0B4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DC2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1FA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05776CC" w14:textId="77777777" w:rsidTr="00EC54C3">
        <w:trPr>
          <w:trHeight w:val="1754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AD4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E06E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phải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soát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cảnh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gửi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tải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hóa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mang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cảnh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để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cảnh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phải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phải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soát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biệt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9428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1.014105.H55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A53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EAE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459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796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706121D" w14:textId="77777777" w:rsidTr="00EC54C3">
        <w:trPr>
          <w:trHeight w:val="190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53E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11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0FC0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cảnh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gửi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tải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hóa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mang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cảnh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để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cảnh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0720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1.014090.H55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305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572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A18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858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2E5F595" w14:textId="77777777" w:rsidTr="00EC54C3">
        <w:trPr>
          <w:trHeight w:val="135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B15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F38F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Cho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mua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gây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hướng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thần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Ủy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ban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8652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1.014087.H55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DBA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0DD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6EA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16E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6EB6AD2" w14:textId="77777777" w:rsidTr="00EC54C3">
        <w:trPr>
          <w:trHeight w:val="87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489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13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C589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Cho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còn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quan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ngắn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FC34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1.014078.H55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0BD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073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5C7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237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0000D00" w14:textId="77777777" w:rsidTr="00EC54C3">
        <w:trPr>
          <w:trHeight w:val="206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D03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4E63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tốt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vì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mục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đích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);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soát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buôn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DF578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1014203.H55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EDDB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057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FC7E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674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7EC616F" w14:textId="77777777" w:rsidTr="00EC54C3">
        <w:trPr>
          <w:trHeight w:val="79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A7E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15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CF71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soát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một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d, đ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e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Khoản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11 Thông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04/2018/TT-BYT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ACDF5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1003068.H55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C1AC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17E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3AC2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FAA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385FC723" w14:textId="77777777" w:rsidTr="00EC54C3">
        <w:trPr>
          <w:trHeight w:val="79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C2D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16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213F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4CBE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1.002483.H55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139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E6A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CFB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7B2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A2E0C21" w14:textId="77777777" w:rsidTr="00EC54C3">
        <w:trPr>
          <w:trHeight w:val="79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4B2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17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FA6C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do (CFS)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nước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để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B503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1.009566.H55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FB4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755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33F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6EC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C1C4394" w14:textId="77777777" w:rsidTr="00EC54C3">
        <w:trPr>
          <w:trHeight w:val="79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06F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18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DA77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C053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1.003055.H55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19B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D74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7948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F16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2D738E4" w14:textId="77777777" w:rsidTr="00EC54C3">
        <w:trPr>
          <w:trHeight w:val="79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571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BEEA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E681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1.003064.H55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D85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C75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3BD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25F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AF2AB82" w14:textId="77777777" w:rsidTr="00EC54C3">
        <w:trPr>
          <w:trHeight w:val="79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27F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18B6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hỏng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DC01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1.000990.H55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DCB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535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C65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9EC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0D92F55" w14:textId="77777777" w:rsidTr="00EC54C3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8B4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99C1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Khoản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2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21 Thông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09/2015/TT-BYT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7554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1.000793.H55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E6D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93D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53A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2DF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2E2C751" w14:textId="77777777" w:rsidTr="00EC54C3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A35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22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7481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chịu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trách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cáo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7DA2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1.000662.H55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AAF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63A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DD2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B7F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5CC4F7E" w14:textId="77777777" w:rsidTr="00EC54C3">
        <w:trPr>
          <w:trHeight w:val="70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2B9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23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3BE7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1237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1.003073.H55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A73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BDA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6D0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C30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3A7F8D2" w14:textId="77777777" w:rsidTr="00EC54C3">
        <w:trPr>
          <w:trHeight w:val="70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6E1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2F9D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Phiếu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nước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69E9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1.002600.H55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DB3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E44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1D401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247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4FB2FF8" w14:textId="77777777" w:rsidTr="00EC54C3">
        <w:trPr>
          <w:trHeight w:val="70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84A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D7E1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AB14" w14:textId="77777777" w:rsidR="004E6E1A" w:rsidRPr="00EC54C3" w:rsidRDefault="004E6E1A" w:rsidP="00054F8A">
            <w:pPr>
              <w:jc w:val="center"/>
              <w:rPr>
                <w:color w:val="333333"/>
                <w:sz w:val="26"/>
                <w:szCs w:val="26"/>
                <w:lang w:val="en-US" w:eastAsia="en-US"/>
              </w:rPr>
            </w:pPr>
            <w:r w:rsidRPr="00EC54C3">
              <w:rPr>
                <w:color w:val="333333"/>
                <w:sz w:val="26"/>
                <w:szCs w:val="26"/>
                <w:lang w:val="en-US" w:eastAsia="en-US"/>
              </w:rPr>
              <w:t>1.002238.H55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FE0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0B4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1F66F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EC2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57956E6" w14:textId="77777777" w:rsidTr="00EC54C3">
        <w:trPr>
          <w:trHeight w:val="70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FF7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26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FFF8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A611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1.013866.H55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E1F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DFD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66F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EC2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06A872E" w14:textId="77777777" w:rsidTr="00EC54C3">
        <w:trPr>
          <w:trHeight w:val="764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962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27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9BB9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Gia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EE55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1.013874.H55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22D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BA8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26D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7AC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E530A13" w14:textId="77777777" w:rsidTr="00EC54C3">
        <w:trPr>
          <w:trHeight w:val="971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A37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28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B999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sung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hữu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D0A0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1.013887.H55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687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B48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FB4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E6C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54F5C37" w14:textId="77777777" w:rsidTr="00EC54C3">
        <w:trPr>
          <w:trHeight w:val="80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48D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29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C343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sung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9770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1.013891.H55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831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2C2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62C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563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2992A6B" w14:textId="77777777" w:rsidTr="00EC54C3">
        <w:trPr>
          <w:trHeight w:val="139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A62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30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65BA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sung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88AF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1.013895.H55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5B9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BA2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E99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4E7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07BCF63" w14:textId="77777777" w:rsidTr="00EC54C3">
        <w:trPr>
          <w:trHeight w:val="139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FAE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31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33F4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sung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EEC8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1.013867.H55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520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118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837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7BC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A64C1DB" w14:textId="77777777" w:rsidTr="00EC54C3">
        <w:trPr>
          <w:trHeight w:val="139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00A5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32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864D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sung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phụ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hưởng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nguồn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FCC2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1.013868.H55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6E9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DDE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0BB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22D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84F0E6B" w14:textId="77777777" w:rsidTr="00EC54C3">
        <w:trPr>
          <w:trHeight w:val="12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DA2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33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0414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3B0D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1.013870.H55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15A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566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544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5EE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258827B" w14:textId="77777777" w:rsidTr="00EC54C3">
        <w:trPr>
          <w:trHeight w:val="11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048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34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5B5B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Thông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hình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8C7F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1.013872.H55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C73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81B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E88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7E1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38C9B5A3" w14:textId="77777777" w:rsidTr="00EC54C3">
        <w:trPr>
          <w:trHeight w:val="11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91E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35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65D8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để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cứu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C1AC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1.013875.H55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B1C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3EB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C6E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86F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13A9302" w14:textId="77777777" w:rsidTr="00EC54C3">
        <w:trPr>
          <w:trHeight w:val="11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EF4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36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5D91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phục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vụ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mục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đích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4C0F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1.013880.H55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A0C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0CF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2FF0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BE7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34956D6" w14:textId="77777777" w:rsidTr="00EC54C3">
        <w:trPr>
          <w:trHeight w:val="11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863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37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1205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biếu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tặng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3770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1.013881.H55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939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C6E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E36A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1C4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4D53CB4" w14:textId="77777777" w:rsidTr="00EC54C3">
        <w:trPr>
          <w:trHeight w:val="17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2C6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38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45E3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cầu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xin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EBB5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1.013883.H55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5B3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2C5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CE65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ADA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3606AF41" w14:textId="77777777" w:rsidTr="00EC54C3">
        <w:trPr>
          <w:trHeight w:val="11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BF7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39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747F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do (CFS)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FE30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1.013886.H55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26F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CB8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1466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554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F39AA8E" w14:textId="77777777" w:rsidTr="00EC54C3">
        <w:trPr>
          <w:trHeight w:val="11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335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40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866C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Sửa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sung,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do (CFS)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BEF1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1.013889.H55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F7F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C05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8C6A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7FB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3E193BF" w14:textId="77777777" w:rsidTr="00EC54C3">
        <w:trPr>
          <w:trHeight w:val="11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C9B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41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B621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Đình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F21C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1.013892.H55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DD5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ED4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D633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4EF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88BB47A" w14:textId="77777777" w:rsidTr="00EC54C3">
        <w:trPr>
          <w:trHeight w:val="11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ED9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42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8BB9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0CF4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1.002944.000.00.00.H55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B0D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73B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A80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A96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1FB8D27" w14:textId="77777777" w:rsidTr="00EC54C3">
        <w:trPr>
          <w:trHeight w:val="11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80E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43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6D9E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cung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dịch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vụ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bằng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33B9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1.002467.000.00.00.H55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F43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715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F98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E77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66808B5" w14:textId="77777777" w:rsidTr="00EC54C3">
        <w:trPr>
          <w:trHeight w:val="11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E65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44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456A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E63A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1.004070.H55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F62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B05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338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621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CF2477C" w14:textId="77777777" w:rsidTr="00EC54C3">
        <w:trPr>
          <w:trHeight w:val="11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DC2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45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7F54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khảo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B333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1.004062.H55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84C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39D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5A8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C4D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3674B68" w14:textId="77777777" w:rsidTr="00EC54C3">
        <w:trPr>
          <w:trHeight w:val="11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5DC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46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6D58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hóa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788D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1.002564.H55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79C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EA1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6F4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069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F0B8A6E" w14:textId="77777777" w:rsidTr="00EC54C3">
        <w:trPr>
          <w:trHeight w:val="130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C75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47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70D6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hóa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hỏng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6A80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1.001189.H55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A98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C78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589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A58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47217EB" w14:textId="77777777" w:rsidTr="00EC54C3">
        <w:trPr>
          <w:trHeight w:val="169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7BF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48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BDE7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hóa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Khoản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2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21 Thông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09/2015/TT-BYT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1FB6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1.001178.H55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45F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B4B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0C8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53E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A795155" w14:textId="77777777" w:rsidTr="00EC54C3">
        <w:trPr>
          <w:trHeight w:val="169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590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49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4666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hóa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lĩnh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chịu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trách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7D6A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1.001114.H55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147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D61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835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00B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57F2246" w14:textId="77777777" w:rsidTr="00EC54C3">
        <w:trPr>
          <w:trHeight w:val="81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167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50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1B2F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B90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1.012279.H55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60E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B22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DCF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8BD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2CE0962" w14:textId="77777777" w:rsidTr="00EC54C3">
        <w:trPr>
          <w:trHeight w:val="81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C49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51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1472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44B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1.012278.H55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D82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287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031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52B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40DD3C3" w14:textId="77777777" w:rsidTr="00EC54C3">
        <w:trPr>
          <w:trHeight w:val="8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BD9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52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D3D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đỏ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rách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hỏng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FF3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1.006780.000.00.00.H55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0E2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05E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41D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DE4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F1BB9FB" w14:textId="77777777" w:rsidTr="00EC54C3">
        <w:trPr>
          <w:trHeight w:val="8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996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53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31A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đỏ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85B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2.000552.000.00.00.H55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A47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B99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5A1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1B3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46420A5" w14:textId="77777777" w:rsidTr="00EC54C3">
        <w:trPr>
          <w:trHeight w:val="8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BF3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54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12D2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đỏ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CF7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2.000559.000.00.00.H55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E58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D85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3DD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892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04492F7" w14:textId="77777777" w:rsidTr="00EC54C3">
        <w:trPr>
          <w:trHeight w:val="8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349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55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EFE9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đỏ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69B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1.001138.000.00.00.H55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F0B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4E0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A52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D87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DD6A3ED" w14:textId="77777777" w:rsidTr="00EC54C3">
        <w:trPr>
          <w:trHeight w:val="8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F4F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56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26B7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yêu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cầu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hướng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dẫn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F2A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1.012256.H55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B98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525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062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26F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FFF484C" w14:textId="77777777" w:rsidTr="00EC54C3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9EE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57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DBA8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B0C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1.012275.H55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4F4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5AB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F0C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E08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38F9DCDA" w14:textId="77777777" w:rsidTr="00EC54C3">
        <w:trPr>
          <w:trHeight w:val="11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80B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58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0F6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Thu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khoản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35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Luật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AB5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1.012276.H55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18A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A0E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766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98B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0A8F7AC" w14:textId="77777777" w:rsidTr="00EC54C3">
        <w:trPr>
          <w:trHeight w:val="23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582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59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E2E1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đoạn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từ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ngày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2024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đến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sàng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ngoại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sàng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9E3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1.012289.H55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757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E78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716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2ED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12E80D7" w14:textId="77777777" w:rsidTr="00EC54C3">
        <w:trPr>
          <w:trHeight w:val="23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6E3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60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B03C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trước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ngày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2024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từ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ngày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2024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đến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sàng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ngoại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sàng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C47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1.012290.H55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CF5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437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514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8A4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D2811F9" w14:textId="77777777" w:rsidTr="00EC54C3">
        <w:trPr>
          <w:trHeight w:val="23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70A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61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7C01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Gia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đoạn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từ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ngày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2024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đến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sàng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ngoại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sàng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266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1.012291.H55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0B6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2B6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095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5E6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280DAA3" w14:textId="77777777" w:rsidTr="00EC54C3">
        <w:trPr>
          <w:trHeight w:val="23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49A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62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A7D2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đoạn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từ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ngày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2024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đến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sàng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ngoại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sàng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EB7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1.012292.H55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4B2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0A9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056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B28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A3DE4EE" w14:textId="77777777" w:rsidTr="00EC54C3">
        <w:trPr>
          <w:trHeight w:val="76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6C0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63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B64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từ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xa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F5E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1.012261.H55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059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62E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D53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9FB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47F7274" w14:textId="77777777" w:rsidTr="00EC54C3">
        <w:trPr>
          <w:trHeight w:val="76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856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64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C5D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khỏe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HIV/AIDS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9C6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1.012281.H55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210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24E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6D5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57B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22CE5D7" w14:textId="77777777" w:rsidTr="00EC54C3">
        <w:trPr>
          <w:trHeight w:val="17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BDF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65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367A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Cho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đợt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khoản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1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79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Luật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đạo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8AF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1.012257.H55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D26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1AC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EC9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C58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303DDB77" w14:textId="77777777" w:rsidTr="00EC54C3">
        <w:trPr>
          <w:trHeight w:val="17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4C3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66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7F8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Cho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nước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ngoài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Việt Nam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đào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khoa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115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1.012258.H55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737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A60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0F7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452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FE51C1C" w14:textId="77777777" w:rsidTr="00EC54C3">
        <w:trPr>
          <w:trHeight w:val="8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315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67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7732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từ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xa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B9E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1.012260.H55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3C1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22A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4FA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FA6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0DC8C66" w14:textId="77777777" w:rsidTr="00EC54C3">
        <w:trPr>
          <w:trHeight w:val="8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495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68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9F09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0AB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1.012280.H55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DE4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34D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F1C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43E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7B62EE5" w14:textId="77777777" w:rsidTr="00EC54C3">
        <w:trPr>
          <w:trHeight w:val="133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12D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69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068B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bài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A67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1.012271.H55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DDE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A30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777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E89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D829A6F" w14:textId="77777777" w:rsidTr="00EC54C3">
        <w:trPr>
          <w:trHeight w:val="133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BD9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70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1EBF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bài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7DD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1.012272.H55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B0D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50B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8AA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78F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8FBCCAE" w14:textId="77777777" w:rsidTr="00EC54C3">
        <w:trPr>
          <w:trHeight w:val="133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741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71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28B7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Gia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bài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BB4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1.012273.H55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D24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050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BFB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0DE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3838CAB" w14:textId="77777777" w:rsidTr="00EC54C3">
        <w:trPr>
          <w:trHeight w:val="8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270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72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D5B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kỹ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thuật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954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1.012262.H55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2BB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2B0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944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B27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6BF3044" w14:textId="77777777" w:rsidTr="00EC54C3">
        <w:trPr>
          <w:trHeight w:val="8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3A0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73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6048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I,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II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5FC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1.003580.H55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3DC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A9E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B5A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53A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047FF82" w14:textId="77777777" w:rsidTr="00EC54C3">
        <w:trPr>
          <w:trHeight w:val="8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918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74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709E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chủng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1F3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2.000655.H55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3A5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2DD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66B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E50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9C212BB" w14:textId="77777777" w:rsidTr="00EC54C3">
        <w:trPr>
          <w:trHeight w:val="8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0B9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75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B418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bồi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xảy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ra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tai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biến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chủng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D4B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1.001386.H55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20D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3EE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4F5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FA3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77BCC08" w14:textId="77777777" w:rsidTr="00EC54C3">
        <w:trPr>
          <w:trHeight w:val="8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686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76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E4EE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nhiễm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HIV do tai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rủi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ro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nghiệp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554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1.013860.H55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58D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2EB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94F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B9C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CBB2B13" w14:textId="77777777" w:rsidTr="00EC54C3">
        <w:trPr>
          <w:trHeight w:val="8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319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77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29CC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nhiễm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HIV do tai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rủi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ro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nghiệp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5CE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1.013864.H55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374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B12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C8C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C51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D176912" w14:textId="77777777" w:rsidTr="00EC54C3">
        <w:trPr>
          <w:trHeight w:val="8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58A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78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2BDF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khẳng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HIV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tính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EED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1.013869.H55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80D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32F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0CA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B4E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33ADA04A" w14:textId="77777777" w:rsidTr="00EC54C3">
        <w:trPr>
          <w:trHeight w:val="8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BF3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79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6FF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khẳng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HIV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tính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F4C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1.013873.H55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700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C92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C17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074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67D8D0C" w14:textId="77777777" w:rsidTr="00EC54C3">
        <w:trPr>
          <w:trHeight w:val="8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FAC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80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20C6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khẳng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HIV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tính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112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1.013879.H55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4BC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E59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B8D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CCC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3672A48" w14:textId="77777777" w:rsidTr="00EC54C3">
        <w:trPr>
          <w:trHeight w:val="8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BE2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81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D23C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quan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trắc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môi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lao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092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1.013890.H55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462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0A9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C9A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FFD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0707F23" w14:textId="77777777" w:rsidTr="00EC54C3">
        <w:trPr>
          <w:trHeight w:val="8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EF2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82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E99C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III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BB9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1.013878.H55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943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A02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BFF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CDB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303B4170" w14:textId="77777777" w:rsidTr="00EC54C3">
        <w:trPr>
          <w:trHeight w:val="8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336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83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365A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III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hạn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0F4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1.013884.H55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2F4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5C6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E2A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684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41914E8" w14:textId="77777777" w:rsidTr="00EC54C3">
        <w:trPr>
          <w:trHeight w:val="8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30C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84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A93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III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hỏng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mất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9C7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1.013893.H55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193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0AF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268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359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AC38268" w14:textId="77777777" w:rsidTr="00EC54C3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CD4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85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74E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III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FC9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1.013865.H55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C5D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826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67B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A25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7AEA04E" w14:textId="77777777" w:rsidTr="00EC54C3">
        <w:trPr>
          <w:trHeight w:val="7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760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86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8389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bằng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1F0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1.013036.H55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E80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1D4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AEA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9E6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17B688C" w14:textId="77777777" w:rsidTr="00EC54C3">
        <w:trPr>
          <w:trHeight w:val="7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889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87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8BF5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Hủy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bằng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thế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143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1.013037.H55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5BA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732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769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F17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7B3AC8C" w14:textId="77777777" w:rsidTr="00EC54C3">
        <w:trPr>
          <w:trHeight w:val="78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9D4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88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4FAA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đồng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0B8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1.013034.H55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A4B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FCC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91F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C6F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7F559E3" w14:textId="77777777" w:rsidTr="00EC54C3">
        <w:trPr>
          <w:trHeight w:val="15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674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89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EDC5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Thu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hồi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đồng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đồng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tục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can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thiệp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giảm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lây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nhiễm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HIV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918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1.013035.H55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F44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2FB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7D3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528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0A049D9" w14:textId="77777777" w:rsidTr="00EC54C3">
        <w:trPr>
          <w:trHeight w:val="11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1B5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90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3265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khoản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4, 5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khoản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6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1 Thông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02/2024/TT-BYT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0E1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1.012416.H55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EB3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5D4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312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B1B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8968969" w14:textId="77777777" w:rsidTr="00EC54C3">
        <w:trPr>
          <w:trHeight w:val="11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C76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91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5FEA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bài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5A3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1.012418.H55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D16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A1E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D3B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E12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F1480B3" w14:textId="77777777" w:rsidTr="00EC54C3">
        <w:trPr>
          <w:trHeight w:val="11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69F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92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2D5B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bài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C2D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1.012419.H55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8B1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3C3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859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C9B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8C647B1" w14:textId="77777777" w:rsidTr="00EC54C3">
        <w:trPr>
          <w:trHeight w:val="8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247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93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20C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596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1.012417.H55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754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E88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8AD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D529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E64607C" w14:textId="77777777" w:rsidTr="00EC54C3">
        <w:trPr>
          <w:trHeight w:val="11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2D2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94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7242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khoản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1, 2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khoản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3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1 Thông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02/2024/TT-BYT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2B2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1.012415.H55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A8C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truyền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BA2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43A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2CD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7393175" w14:textId="77777777" w:rsidTr="00EC54C3">
        <w:trPr>
          <w:trHeight w:val="11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59F9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95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98FF" w14:textId="77777777" w:rsidR="004E6E1A" w:rsidRPr="00EC54C3" w:rsidRDefault="004E6E1A" w:rsidP="00054F8A">
            <w:pPr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đáp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ứng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tiêu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chuẩn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biến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bào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cổ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truyền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bằng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cổ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truyền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trực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quản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4C12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1.009407.000.00.00.H55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3BC9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 xml:space="preserve">Y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Dược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cổ</w:t>
            </w:r>
            <w:proofErr w:type="spellEnd"/>
            <w:r w:rsidRPr="00EC54C3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sz w:val="26"/>
                <w:szCs w:val="26"/>
                <w:lang w:val="en-US" w:eastAsia="en-US"/>
              </w:rPr>
              <w:t>truyền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616A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FFB8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F202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DBEF2B6" w14:textId="77777777" w:rsidTr="00EC54C3">
        <w:trPr>
          <w:trHeight w:val="76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43B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96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F177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hưởng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chính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sách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hỗ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con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đúng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chính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sách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số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333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2.001088.H55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1F7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số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31E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x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8006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51DB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bookmarkStart w:id="0" w:name="RANGE!G98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  <w:bookmarkEnd w:id="0"/>
          </w:p>
        </w:tc>
      </w:tr>
      <w:tr w:rsidR="004E6E1A" w:rsidRPr="00EC54C3" w14:paraId="66BDA843" w14:textId="77777777" w:rsidTr="00EC54C3">
        <w:trPr>
          <w:trHeight w:val="76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F3C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97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F3F4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cần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bảo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vệ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giúp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CF9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2.000282.H55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195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FD7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BC85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E374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CBABF31" w14:textId="77777777" w:rsidTr="00EC54C3">
        <w:trPr>
          <w:trHeight w:val="76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0B5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98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3C95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bảo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cảnh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giúp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058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2.000286.H55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1CD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9BC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1CAC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B8FF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C354E9F" w14:textId="77777777" w:rsidTr="00EC54C3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894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99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3CE8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Thành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giải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thể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giúp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UBND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quan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Uỷ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ban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tỉnh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764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1.013820.H55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A3F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C48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470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B4C9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97D3D32" w14:textId="77777777" w:rsidTr="00EC54C3">
        <w:trPr>
          <w:trHeight w:val="11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0E2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100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4A61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giải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thể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giúp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ngoài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lập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655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1.013814.H55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CA3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D47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13C62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581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9A9307E" w14:textId="77777777" w:rsidTr="00EC54C3">
        <w:trPr>
          <w:trHeight w:val="97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89C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101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25E8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doanh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từ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30%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lao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khuyết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tật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F8D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1.001806.H55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305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75B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B2FC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436B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E13A0A4" w14:textId="77777777" w:rsidTr="00EC54C3">
        <w:trPr>
          <w:trHeight w:val="76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3CB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102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5A38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Dừng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giúp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giúp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033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2.000477.H55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2BE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E50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3818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DDAA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04AD1BA" w14:textId="77777777" w:rsidTr="00EC54C3">
        <w:trPr>
          <w:trHeight w:val="76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A44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103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CC19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giúp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BD8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2.000051.H55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248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679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2B88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B6C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F6F8091" w14:textId="77777777" w:rsidTr="00EC54C3">
        <w:trPr>
          <w:trHeight w:val="76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C50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104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86EC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trình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E79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1.012990.H55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A69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7F5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04F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97A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36B8E036" w14:textId="77777777" w:rsidTr="00EC54C3">
        <w:trPr>
          <w:trHeight w:val="76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27C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105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9C6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6A6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1.012992.H55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467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200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E1F1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D13C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5C38F72" w14:textId="77777777" w:rsidTr="00EC54C3">
        <w:trPr>
          <w:trHeight w:val="11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434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106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7F9F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Việt Nam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nước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ngoài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Việt Nam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cư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ở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nước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ngoài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B57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1.012993.H55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E46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4B5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3535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06D9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DF0931D" w14:textId="77777777" w:rsidTr="00EC54C3">
        <w:trPr>
          <w:trHeight w:val="11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CF5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107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49E1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can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thiệp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khỏi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môi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gây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F27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</w:t>
            </w: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004.946.H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7BC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2BC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4AC2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C9A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C59CB3B" w14:textId="77777777" w:rsidTr="00EC54C3">
        <w:trPr>
          <w:trHeight w:val="15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B24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108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1EB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việc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sóc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(Trường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việc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sóc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giúp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trách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để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đến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đình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sóc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0CD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1.004944.H55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A7A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C4C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2644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D0FA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217EC89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6A0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109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69D6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hỗ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0CE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2.000025.H55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1C2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PCTNXH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4E3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9C9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924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AB89BD3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EF3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110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6B66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sửa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sung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hỗ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050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2.000027.H55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3A6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PCTNXH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7A1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5597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534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DE95557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A1E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111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FF5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sửa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sung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hỗ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8FB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1.014011.H55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4B4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PCTNXH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8B5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F99F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160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F5E9428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EC4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112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565C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dứt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hỗ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E21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1.000091.H55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379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PCTNXH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6E4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6C2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6C74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ABA9C13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794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113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76B6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phép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hỗ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E1A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1.014010.H55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E28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PCTNXH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789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2CD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151C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0743D01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7AF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114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1FF1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Hỗ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nghề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ban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đầu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26D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2.001661.H55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A1C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PCTNXH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43E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BAA1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A307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9206AAA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13C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115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668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thôi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hưởng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hỗ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sóc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nuôi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tháng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FDF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1.001776.H55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0FA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429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8AE8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A227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973AE0D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D3F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116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E31A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Hỗ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chi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mai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bảo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1D6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1.001731.H55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0B2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BDA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      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0F7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849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5A9784E" w14:textId="77777777" w:rsidTr="00EC54C3">
        <w:trPr>
          <w:trHeight w:val="7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20D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117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6BD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thôi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hưởng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DBA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1.014027.H55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C43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878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81E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C99E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3FADA8B7" w14:textId="77777777" w:rsidTr="00EC54C3">
        <w:trPr>
          <w:trHeight w:val="7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343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118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AADB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Hỗ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chi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mai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hưởng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4AD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1.014028.H55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8F5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105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A11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D3D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911BDAC" w14:textId="77777777" w:rsidTr="00EC54C3">
        <w:trPr>
          <w:trHeight w:val="7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4FB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119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0F0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khuyết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tật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khuyết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tật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712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1.001699.H55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C70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39A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A625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913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97E1264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442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120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6FC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khuyết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tật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DB9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1.001653.H55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E43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83F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C24D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D6C5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99EC5CB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637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121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9D9A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giúp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10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cảnh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khăn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00D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2.000355.H55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7D7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Bảo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02E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7A96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B385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140A35A" w14:textId="77777777" w:rsidTr="00EC54C3">
        <w:trPr>
          <w:trHeight w:val="108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B35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122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06F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Phê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duyệt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hoạch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hỗ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can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thiệp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bóc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lột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bỏ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rơi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có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cảnh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5E0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</w:t>
            </w: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001.947.H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5D3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71B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EFD9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D144C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3A0FBE1" w14:textId="77777777" w:rsidTr="00EC54C3">
        <w:trPr>
          <w:trHeight w:val="108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9FF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123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B2B4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sóc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đình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sóc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phải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thích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736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</w:t>
            </w: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004.941.H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830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3F8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BB31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1388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36DA426" w14:textId="77777777" w:rsidTr="00EC54C3">
        <w:trPr>
          <w:trHeight w:val="108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DEC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124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2B78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Thông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sóc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đình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sóc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thích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76C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</w:t>
            </w: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001.944.H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CAF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35E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EC7E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4902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F92B246" w14:textId="77777777" w:rsidTr="00EC54C3">
        <w:trPr>
          <w:trHeight w:val="108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2F2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125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D3D9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Chuyển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đang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sóc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giúp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đến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đình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sóc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D5C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2.</w:t>
            </w: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001.942.H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9BC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em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C3C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FEB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8BC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17BACE9" w14:textId="77777777" w:rsidTr="00EC54C3">
        <w:trPr>
          <w:trHeight w:val="12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F9A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126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52EE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do (CFS)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4C34" w14:textId="77777777" w:rsidR="004E6E1A" w:rsidRPr="00EC54C3" w:rsidRDefault="004E6E1A" w:rsidP="00054F8A">
            <w:pPr>
              <w:jc w:val="center"/>
              <w:rPr>
                <w:color w:val="1E2F41"/>
                <w:sz w:val="26"/>
                <w:szCs w:val="26"/>
                <w:lang w:val="en-US" w:eastAsia="en-US"/>
              </w:rPr>
            </w:pPr>
            <w:r w:rsidRPr="00EC54C3">
              <w:rPr>
                <w:color w:val="1E2F41"/>
                <w:sz w:val="26"/>
                <w:szCs w:val="26"/>
                <w:lang w:val="en-US" w:eastAsia="en-US"/>
              </w:rPr>
              <w:t>1.013838.H55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354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4B6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256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A83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5B5109C" w14:textId="77777777" w:rsidTr="00EC54C3">
        <w:trPr>
          <w:trHeight w:val="124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397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bookmarkStart w:id="1" w:name="RANGE!A129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127</w:t>
            </w:r>
            <w:bookmarkEnd w:id="1"/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72DF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Sửa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sung,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do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(CFS)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D884" w14:textId="77777777" w:rsidR="004E6E1A" w:rsidRPr="00EC54C3" w:rsidRDefault="004E6E1A" w:rsidP="00054F8A">
            <w:pPr>
              <w:jc w:val="center"/>
              <w:rPr>
                <w:color w:val="1E2F41"/>
                <w:sz w:val="26"/>
                <w:szCs w:val="26"/>
                <w:lang w:val="en-US" w:eastAsia="en-US"/>
              </w:rPr>
            </w:pPr>
            <w:r w:rsidRPr="00EC54C3">
              <w:rPr>
                <w:color w:val="1E2F41"/>
                <w:sz w:val="26"/>
                <w:szCs w:val="26"/>
                <w:lang w:val="en-US" w:eastAsia="en-US"/>
              </w:rPr>
              <w:t>1.013847.H55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EB0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A31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A77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4E5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49F4732" w14:textId="77777777" w:rsidTr="00EC54C3">
        <w:trPr>
          <w:trHeight w:val="124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029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128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62F8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đến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36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tuổi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AC52" w14:textId="77777777" w:rsidR="004E6E1A" w:rsidRPr="00EC54C3" w:rsidRDefault="004E6E1A" w:rsidP="00054F8A">
            <w:pPr>
              <w:jc w:val="center"/>
              <w:rPr>
                <w:color w:val="1E2F41"/>
                <w:sz w:val="26"/>
                <w:szCs w:val="26"/>
                <w:lang w:val="en-US" w:eastAsia="en-US"/>
              </w:rPr>
            </w:pPr>
            <w:r w:rsidRPr="00EC54C3">
              <w:rPr>
                <w:color w:val="1E2F41"/>
                <w:sz w:val="26"/>
                <w:szCs w:val="26"/>
                <w:lang w:val="en-US" w:eastAsia="en-US"/>
              </w:rPr>
              <w:t>1.013851.H55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92A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6B8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3045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CE8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CDEC069" w14:textId="77777777" w:rsidTr="00EC54C3">
        <w:trPr>
          <w:trHeight w:val="14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128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129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4B7D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đến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36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tuổi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C5B6" w14:textId="77777777" w:rsidR="004E6E1A" w:rsidRPr="00EC54C3" w:rsidRDefault="004E6E1A" w:rsidP="00054F8A">
            <w:pPr>
              <w:jc w:val="center"/>
              <w:rPr>
                <w:color w:val="1E2F41"/>
                <w:sz w:val="26"/>
                <w:szCs w:val="26"/>
                <w:lang w:val="en-US" w:eastAsia="en-US"/>
              </w:rPr>
            </w:pPr>
            <w:r w:rsidRPr="00EC54C3">
              <w:rPr>
                <w:color w:val="1E2F41"/>
                <w:sz w:val="26"/>
                <w:szCs w:val="26"/>
                <w:lang w:val="en-US" w:eastAsia="en-US"/>
              </w:rPr>
              <w:t>1.013858.H55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C60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345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998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215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BDF0534" w14:textId="77777777" w:rsidTr="00EC54C3">
        <w:trPr>
          <w:trHeight w:val="168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248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130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4B92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nước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biệt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dưỡng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dùng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trẻ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đến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36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tháng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tuổi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1BE5" w14:textId="77777777" w:rsidR="004E6E1A" w:rsidRPr="00EC54C3" w:rsidRDefault="004E6E1A" w:rsidP="00054F8A">
            <w:pPr>
              <w:jc w:val="center"/>
              <w:rPr>
                <w:color w:val="1E2F41"/>
                <w:sz w:val="26"/>
                <w:szCs w:val="26"/>
                <w:lang w:val="en-US" w:eastAsia="en-US"/>
              </w:rPr>
            </w:pPr>
            <w:r w:rsidRPr="00EC54C3">
              <w:rPr>
                <w:color w:val="1E2F41"/>
                <w:sz w:val="26"/>
                <w:szCs w:val="26"/>
                <w:lang w:val="en-US" w:eastAsia="en-US"/>
              </w:rPr>
              <w:t>1.013862.H55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03C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85C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8AF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181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66BD4298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484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131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871C" w14:textId="77777777" w:rsidR="004E6E1A" w:rsidRPr="00EC54C3" w:rsidRDefault="004E6E1A" w:rsidP="00054F8A">
            <w:pPr>
              <w:rPr>
                <w:color w:val="1E2F41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phục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vụ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quản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nhà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nước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F812" w14:textId="77777777" w:rsidR="004E6E1A" w:rsidRPr="00EC54C3" w:rsidRDefault="004E6E1A" w:rsidP="00054F8A">
            <w:pPr>
              <w:jc w:val="center"/>
              <w:rPr>
                <w:color w:val="1E2F41"/>
                <w:sz w:val="26"/>
                <w:szCs w:val="26"/>
                <w:lang w:val="en-US" w:eastAsia="en-US"/>
              </w:rPr>
            </w:pPr>
            <w:r w:rsidRPr="00EC54C3">
              <w:rPr>
                <w:color w:val="1E2F41"/>
                <w:sz w:val="26"/>
                <w:szCs w:val="26"/>
                <w:lang w:val="en-US" w:eastAsia="en-US"/>
              </w:rPr>
              <w:t>1.013857.H55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752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006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B9E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523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6E1792E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B9C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132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EB18" w14:textId="77777777" w:rsidR="004E6E1A" w:rsidRPr="00EC54C3" w:rsidRDefault="004E6E1A" w:rsidP="00054F8A">
            <w:pPr>
              <w:rPr>
                <w:color w:val="1E2F41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hạn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phục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vụ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quản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nhà</w:t>
            </w:r>
            <w:proofErr w:type="spellEnd"/>
            <w:r w:rsidRPr="00EC54C3">
              <w:rPr>
                <w:color w:val="1E2F4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1E2F41"/>
                <w:sz w:val="26"/>
                <w:szCs w:val="26"/>
                <w:lang w:val="en-US" w:eastAsia="en-US"/>
              </w:rPr>
              <w:t>nước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F5D3" w14:textId="77777777" w:rsidR="004E6E1A" w:rsidRPr="00EC54C3" w:rsidRDefault="004E6E1A" w:rsidP="00054F8A">
            <w:pPr>
              <w:jc w:val="center"/>
              <w:rPr>
                <w:color w:val="1E2F41"/>
                <w:sz w:val="26"/>
                <w:szCs w:val="26"/>
                <w:lang w:val="en-US" w:eastAsia="en-US"/>
              </w:rPr>
            </w:pPr>
            <w:r w:rsidRPr="00EC54C3">
              <w:rPr>
                <w:color w:val="1E2F41"/>
                <w:sz w:val="26"/>
                <w:szCs w:val="26"/>
                <w:lang w:val="en-US" w:eastAsia="en-US"/>
              </w:rPr>
              <w:t>1.013854.H55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6E0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DC3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AD8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1C0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076C5B9" w14:textId="77777777" w:rsidTr="00EC54C3">
        <w:trPr>
          <w:trHeight w:val="7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D9D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133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D7F5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đổi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sung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vi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phục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vụ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nước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BD73" w14:textId="77777777" w:rsidR="004E6E1A" w:rsidRPr="00EC54C3" w:rsidRDefault="004E6E1A" w:rsidP="00054F8A">
            <w:pPr>
              <w:jc w:val="center"/>
              <w:rPr>
                <w:color w:val="1E2F41"/>
                <w:sz w:val="26"/>
                <w:szCs w:val="26"/>
                <w:lang w:val="en-US" w:eastAsia="en-US"/>
              </w:rPr>
            </w:pPr>
            <w:r w:rsidRPr="00EC54C3">
              <w:rPr>
                <w:color w:val="1E2F41"/>
                <w:sz w:val="26"/>
                <w:szCs w:val="26"/>
                <w:lang w:val="en-US" w:eastAsia="en-US"/>
              </w:rPr>
              <w:t>1.013850.H55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D0E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E58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CA4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D62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848FD72" w14:textId="77777777" w:rsidTr="00EC54C3">
        <w:trPr>
          <w:trHeight w:val="222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3A7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134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2B82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Đăng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Việt Nam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nước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ngoài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thỏa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lẫn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nhau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Quốc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Châu Á- Thái Bình Dương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TCVN ISO/IEC 17025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ISO/IEC 17025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2359" w14:textId="77777777" w:rsidR="004E6E1A" w:rsidRPr="00EC54C3" w:rsidRDefault="004E6E1A" w:rsidP="00054F8A">
            <w:pPr>
              <w:jc w:val="center"/>
              <w:rPr>
                <w:color w:val="1E2F41"/>
                <w:sz w:val="26"/>
                <w:szCs w:val="26"/>
                <w:lang w:val="en-US" w:eastAsia="en-US"/>
              </w:rPr>
            </w:pPr>
            <w:r w:rsidRPr="00EC54C3">
              <w:rPr>
                <w:color w:val="1E2F41"/>
                <w:sz w:val="26"/>
                <w:szCs w:val="26"/>
                <w:lang w:val="en-US" w:eastAsia="en-US"/>
              </w:rPr>
              <w:t>1.013844.H55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D06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7BF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CBA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E1D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7FA5F4E3" w14:textId="77777777" w:rsidTr="00EC54C3">
        <w:trPr>
          <w:trHeight w:val="224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D54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135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0C76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Miễn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sát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Việt Nam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nước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ngoài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tham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thỏa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lẫn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nhau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Quốc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Hiệp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hội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Châu Á- Thái Bình Dương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theo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TCVN ISO/IEC 17025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ISO/IEC 17025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C949" w14:textId="77777777" w:rsidR="004E6E1A" w:rsidRPr="00EC54C3" w:rsidRDefault="004E6E1A" w:rsidP="00054F8A">
            <w:pPr>
              <w:jc w:val="center"/>
              <w:rPr>
                <w:color w:val="1E2F41"/>
                <w:sz w:val="26"/>
                <w:szCs w:val="26"/>
                <w:lang w:val="en-US" w:eastAsia="en-US"/>
              </w:rPr>
            </w:pPr>
            <w:r w:rsidRPr="00EC54C3">
              <w:rPr>
                <w:color w:val="1E2F41"/>
                <w:sz w:val="26"/>
                <w:szCs w:val="26"/>
                <w:lang w:val="en-US" w:eastAsia="en-US"/>
              </w:rPr>
              <w:t>1.013841.H55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B4C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5C0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70E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F06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01ED581" w14:textId="77777777" w:rsidTr="00EC54C3">
        <w:trPr>
          <w:trHeight w:val="79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954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136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FB4A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khẩu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1874" w14:textId="77777777" w:rsidR="004E6E1A" w:rsidRPr="00EC54C3" w:rsidRDefault="004E6E1A" w:rsidP="00054F8A">
            <w:pPr>
              <w:jc w:val="center"/>
              <w:rPr>
                <w:color w:val="1E2F41"/>
                <w:sz w:val="26"/>
                <w:szCs w:val="26"/>
                <w:lang w:val="en-US" w:eastAsia="en-US"/>
              </w:rPr>
            </w:pPr>
            <w:r w:rsidRPr="00EC54C3">
              <w:rPr>
                <w:color w:val="1E2F41"/>
                <w:sz w:val="26"/>
                <w:szCs w:val="26"/>
                <w:lang w:val="en-US" w:eastAsia="en-US"/>
              </w:rPr>
              <w:t>1.013829.H55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FA6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EAB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FE8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08F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081530B" w14:textId="77777777" w:rsidTr="00EC54C3">
        <w:trPr>
          <w:trHeight w:val="12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621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137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2CD2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an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doanh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dịch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vụ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ăn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uống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vi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lý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6C2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1.013855.H55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C5C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An</w:t>
            </w:r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toàn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phẩm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1FF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2B8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B99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07AA2D8" w14:textId="77777777" w:rsidTr="00EC54C3">
        <w:trPr>
          <w:trHeight w:val="12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776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138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A346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được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chỉ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thứ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)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lá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B41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1.013896.H55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5D6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14E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013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7B4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C4DB6EE" w14:textId="77777777" w:rsidTr="00EC54C3">
        <w:trPr>
          <w:trHeight w:val="12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E25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139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8523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dựa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quả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của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doanh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thứ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916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1.013898.H55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798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311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512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7E3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5D8946C" w14:textId="77777777" w:rsidTr="00EC54C3">
        <w:trPr>
          <w:trHeight w:val="78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B61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140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1380" w14:textId="77777777" w:rsidR="004E6E1A" w:rsidRPr="00EC54C3" w:rsidRDefault="004E6E1A" w:rsidP="00054F8A">
            <w:pPr>
              <w:jc w:val="both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quy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thuốc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lá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077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1.013894.H55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44A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E3F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C198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9A8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B96EA54" w14:textId="77777777" w:rsidTr="00EC54C3">
        <w:trPr>
          <w:trHeight w:val="13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E07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141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A213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yêu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cầu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thực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đào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sức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khỏe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tư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bàn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tỉnh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phố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B98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1.004539.H55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196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Khoa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nghệ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đào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tạo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8E8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2E75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0EAE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D5B6E51" w14:textId="77777777" w:rsidTr="00EC54C3">
        <w:trPr>
          <w:trHeight w:val="11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461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142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0B29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biết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tiếng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Việt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sử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thạo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ngôn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ngữ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trình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độ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dịch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chữa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bệnh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0FF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1.013824.H55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678A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Khoa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nghệ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đào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tạo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14E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318B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87D9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3CFFE0EF" w14:textId="77777777" w:rsidTr="00EC54C3">
        <w:trPr>
          <w:trHeight w:val="78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F52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143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2625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Bổ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thần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188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1.013871.H55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F0F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4D6F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A39E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CDD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BA8DD1B" w14:textId="77777777" w:rsidTr="00EC54C3">
        <w:trPr>
          <w:trHeight w:val="78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FD0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144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C4F8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Miễn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nhiệm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viên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tâm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thần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264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1.013876.H55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3C0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Giám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định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4C5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1B7E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76A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2FEC3923" w14:textId="77777777" w:rsidTr="00EC54C3">
        <w:trPr>
          <w:trHeight w:val="15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4439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145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42BA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Tiếp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tục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cho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thiết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tê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́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trong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hợp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sở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hữu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thiết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tê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́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không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tiếp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tục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hoặc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phá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giải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thể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thiết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tê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́</w:t>
            </w:r>
            <w:r w:rsidRPr="00EC54C3">
              <w:rPr>
                <w:color w:val="000000"/>
                <w:sz w:val="26"/>
                <w:szCs w:val="26"/>
                <w:lang w:val="en-US" w:eastAsia="en-US"/>
              </w:rPr>
              <w:br/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loại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A, B (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TTHC)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DBE0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3.000447.H55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4CF0E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82C26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25C08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A1E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3AF166C3" w14:textId="77777777" w:rsidTr="00EC54C3">
        <w:trPr>
          <w:trHeight w:val="93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CBF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146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34FA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giấy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nhận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lưu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hành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tự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do (CFS)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thiết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tê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́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loại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A, B</w:t>
            </w:r>
            <w:r w:rsidRPr="00EC54C3">
              <w:rPr>
                <w:color w:val="000000"/>
                <w:sz w:val="26"/>
                <w:szCs w:val="26"/>
                <w:lang w:val="en-US" w:eastAsia="en-US"/>
              </w:rPr>
              <w:br/>
              <w:t>(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phân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cấp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TTHC)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B17A9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3000448.H55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79B1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696F4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9EC60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01A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44767A9B" w14:textId="77777777" w:rsidTr="00EC54C3">
        <w:trPr>
          <w:trHeight w:val="76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288C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147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574D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nguyên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liệu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thiết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tê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́,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ngoại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kiểm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chứa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ma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túy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và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tiền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chất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21A03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3.000449.H55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CB44B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548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F6F44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6975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06AF8924" w14:textId="77777777" w:rsidTr="00EC54C3">
        <w:trPr>
          <w:trHeight w:val="76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62A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148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6778F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sản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xuất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55DD9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1.003006.H55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E30D0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736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E2595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9AB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1F8A5999" w14:textId="77777777" w:rsidTr="00EC54C3">
        <w:trPr>
          <w:trHeight w:val="76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E1E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149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1AC2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tiêu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chuẩn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áp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dụng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đối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với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loại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A, B.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65506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1.003029.H55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8AB22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1D0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8820A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9413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4E6E1A" w:rsidRPr="00EC54C3" w14:paraId="5D34928F" w14:textId="77777777" w:rsidTr="00EC54C3">
        <w:trPr>
          <w:trHeight w:val="76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FB01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150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2697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Công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bố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đủ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điều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kiện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mua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proofErr w:type="gram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bán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thiết</w:t>
            </w:r>
            <w:proofErr w:type="spellEnd"/>
            <w:proofErr w:type="gram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thuộc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loại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B, C, D.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A1E6F" w14:textId="77777777" w:rsidR="004E6E1A" w:rsidRPr="00EC54C3" w:rsidRDefault="004E6E1A" w:rsidP="00054F8A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EC54C3">
              <w:rPr>
                <w:sz w:val="26"/>
                <w:szCs w:val="26"/>
                <w:lang w:val="en-US" w:eastAsia="en-US"/>
              </w:rPr>
              <w:t>1.003039.H55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E6F4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Thiết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bị</w:t>
            </w:r>
            <w:proofErr w:type="spellEnd"/>
            <w:r w:rsidRPr="00EC54C3">
              <w:rPr>
                <w:color w:val="000000"/>
                <w:sz w:val="26"/>
                <w:szCs w:val="26"/>
                <w:lang w:val="en-US" w:eastAsia="en-US"/>
              </w:rPr>
              <w:t xml:space="preserve"> Y </w:t>
            </w:r>
            <w:proofErr w:type="spellStart"/>
            <w:r w:rsidRPr="00EC54C3">
              <w:rPr>
                <w:color w:val="000000"/>
                <w:sz w:val="26"/>
                <w:szCs w:val="26"/>
                <w:lang w:val="en-US" w:eastAsia="en-US"/>
              </w:rPr>
              <w:t>tế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C04D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04B7" w14:textId="77777777" w:rsidR="004E6E1A" w:rsidRPr="00EC54C3" w:rsidRDefault="004E6E1A" w:rsidP="00054F8A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C9E7" w14:textId="77777777" w:rsidR="004E6E1A" w:rsidRPr="00EC54C3" w:rsidRDefault="004E6E1A" w:rsidP="00054F8A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EC54C3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</w:tbl>
    <w:p w14:paraId="7ADC2824" w14:textId="77777777" w:rsidR="004E6E1A" w:rsidRPr="00EC54C3" w:rsidRDefault="004E6E1A" w:rsidP="00EC54C3">
      <w:pPr>
        <w:spacing w:after="120"/>
        <w:rPr>
          <w:i/>
          <w:iCs/>
          <w:sz w:val="26"/>
          <w:szCs w:val="26"/>
        </w:rPr>
      </w:pPr>
    </w:p>
    <w:sectPr w:rsidR="004E6E1A" w:rsidRPr="00EC54C3" w:rsidSect="00EC54C3">
      <w:headerReference w:type="even" r:id="rId8"/>
      <w:headerReference w:type="default" r:id="rId9"/>
      <w:pgSz w:w="16840" w:h="11907" w:orient="landscape" w:code="9"/>
      <w:pgMar w:top="1134" w:right="1134" w:bottom="1134" w:left="1134" w:header="510" w:footer="720" w:gutter="0"/>
      <w:pgNumType w:start="16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0891" w14:textId="77777777" w:rsidR="0000172F" w:rsidRDefault="0000172F" w:rsidP="004E6E1A">
      <w:r>
        <w:separator/>
      </w:r>
    </w:p>
  </w:endnote>
  <w:endnote w:type="continuationSeparator" w:id="0">
    <w:p w14:paraId="396FE4CB" w14:textId="77777777" w:rsidR="0000172F" w:rsidRDefault="0000172F" w:rsidP="004E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C645" w14:textId="77777777" w:rsidR="0000172F" w:rsidRDefault="0000172F" w:rsidP="004E6E1A">
      <w:r>
        <w:separator/>
      </w:r>
    </w:p>
  </w:footnote>
  <w:footnote w:type="continuationSeparator" w:id="0">
    <w:p w14:paraId="75212C01" w14:textId="77777777" w:rsidR="0000172F" w:rsidRDefault="0000172F" w:rsidP="004E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A7BF" w14:textId="1221B57B" w:rsidR="004E6E1A" w:rsidRDefault="004E6E1A" w:rsidP="00F7098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515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53E43C" w14:textId="1FBE3B38" w:rsidR="00EC54C3" w:rsidRDefault="00EC54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8BBFC" w14:textId="77777777" w:rsidR="004E6E1A" w:rsidRDefault="004E6E1A" w:rsidP="00F709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C22"/>
    <w:multiLevelType w:val="hybridMultilevel"/>
    <w:tmpl w:val="F5D223BE"/>
    <w:lvl w:ilvl="0" w:tplc="B2B67436">
      <w:start w:val="1"/>
      <w:numFmt w:val="decimal"/>
      <w:lvlText w:val="%1"/>
      <w:lvlJc w:val="right"/>
      <w:pPr>
        <w:ind w:left="720" w:hanging="360"/>
      </w:pPr>
      <w:rPr>
        <w:b w:val="0"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74844">
    <w:abstractNumId w:val="0"/>
  </w:num>
  <w:num w:numId="2" w16cid:durableId="1479686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1A"/>
    <w:rsid w:val="0000172F"/>
    <w:rsid w:val="0005608A"/>
    <w:rsid w:val="002B2C4E"/>
    <w:rsid w:val="003121D0"/>
    <w:rsid w:val="003B5A40"/>
    <w:rsid w:val="004E6E1A"/>
    <w:rsid w:val="007A4E0A"/>
    <w:rsid w:val="009D7C32"/>
    <w:rsid w:val="00EC54C3"/>
    <w:rsid w:val="00F10C6E"/>
    <w:rsid w:val="00F95595"/>
    <w:rsid w:val="00F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B5692"/>
  <w15:chartTrackingRefBased/>
  <w15:docId w15:val="{8354D950-9D06-4D97-B076-3D3F95F1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1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E6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6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6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6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E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E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E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E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6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E6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E6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4E6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6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E1A"/>
    <w:rPr>
      <w:i/>
      <w:iCs/>
      <w:color w:val="404040" w:themeColor="text1" w:themeTint="BF"/>
    </w:rPr>
  </w:style>
  <w:style w:type="paragraph" w:styleId="ListParagraph">
    <w:name w:val="List Paragraph"/>
    <w:aliases w:val="bullet 1,Yellow Bullet,Normal bullet 2,Normal1,Paragraph"/>
    <w:basedOn w:val="Normal"/>
    <w:link w:val="ListParagraphChar"/>
    <w:uiPriority w:val="34"/>
    <w:qFormat/>
    <w:rsid w:val="004E6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E1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1 Char,Yellow Bullet Char,Normal bullet 2 Char,Normal1 Char,Paragraph Char"/>
    <w:link w:val="ListParagraph"/>
    <w:uiPriority w:val="34"/>
    <w:qFormat/>
    <w:locked/>
    <w:rsid w:val="004E6E1A"/>
  </w:style>
  <w:style w:type="paragraph" w:styleId="Caption">
    <w:name w:val="caption"/>
    <w:basedOn w:val="Normal"/>
    <w:next w:val="Normal"/>
    <w:uiPriority w:val="99"/>
    <w:semiHidden/>
    <w:unhideWhenUsed/>
    <w:qFormat/>
    <w:rsid w:val="004E6E1A"/>
    <w:pPr>
      <w:framePr w:w="2490" w:h="145" w:hSpace="180" w:wrap="around" w:vAnchor="text" w:hAnchor="page" w:x="1933" w:y="23"/>
      <w:jc w:val="center"/>
    </w:pPr>
    <w:rPr>
      <w:rFonts w:ascii=".VnTime" w:hAnsi=".VnTime"/>
      <w:b/>
      <w:color w:val="0000FF"/>
      <w:sz w:val="26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E6E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6E1A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4E6E1A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4E6E1A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E1A"/>
    <w:pPr>
      <w:ind w:firstLine="720"/>
      <w:jc w:val="both"/>
    </w:pPr>
    <w:rPr>
      <w:rFonts w:eastAsia="Calibri"/>
      <w:kern w:val="2"/>
      <w:sz w:val="20"/>
      <w:szCs w:val="20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E1A"/>
    <w:rPr>
      <w:rFonts w:ascii="Times New Roman" w:eastAsia="Calibri" w:hAnsi="Times New Roman" w:cs="Times New Roman"/>
      <w:sz w:val="20"/>
      <w:szCs w:val="20"/>
      <w:lang w:val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6E1A"/>
    <w:pPr>
      <w:tabs>
        <w:tab w:val="center" w:pos="4513"/>
        <w:tab w:val="right" w:pos="9026"/>
      </w:tabs>
    </w:pPr>
    <w:rPr>
      <w:sz w:val="2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6E1A"/>
    <w:rPr>
      <w:rFonts w:ascii="Times New Roman" w:eastAsia="Times New Roman" w:hAnsi="Times New Roman" w:cs="Times New Roman"/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6E1A"/>
    <w:pPr>
      <w:tabs>
        <w:tab w:val="center" w:pos="4320"/>
        <w:tab w:val="right" w:pos="8640"/>
      </w:tabs>
    </w:pPr>
    <w:rPr>
      <w:sz w:val="26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E6E1A"/>
    <w:rPr>
      <w:rFonts w:ascii="Times New Roman" w:eastAsia="Times New Roman" w:hAnsi="Times New Roman" w:cs="Times New Roman"/>
      <w:kern w:val="0"/>
      <w:sz w:val="26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6E1A"/>
    <w:pPr>
      <w:spacing w:after="120"/>
      <w:ind w:left="360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6E1A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E6E1A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6E1A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E6E1A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6E1A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1A"/>
    <w:rPr>
      <w:rFonts w:ascii="Segoe UI" w:hAnsi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E1A"/>
    <w:rPr>
      <w:rFonts w:ascii="Segoe UI" w:eastAsia="Times New Roman" w:hAnsi="Segoe UI" w:cs="Times New Roman"/>
      <w:kern w:val="0"/>
      <w:sz w:val="18"/>
      <w:szCs w:val="18"/>
      <w14:ligatures w14:val="none"/>
    </w:rPr>
  </w:style>
  <w:style w:type="paragraph" w:customStyle="1" w:styleId="CharChar6CharChar">
    <w:name w:val="Char Char6 Char Char"/>
    <w:basedOn w:val="Normal"/>
    <w:uiPriority w:val="99"/>
    <w:semiHidden/>
    <w:rsid w:val="004E6E1A"/>
    <w:pPr>
      <w:spacing w:after="160" w:line="240" w:lineRule="exact"/>
    </w:pPr>
    <w:rPr>
      <w:rFonts w:ascii="Tahoma" w:eastAsia="PMingLiU" w:hAnsi="Tahoma"/>
      <w:sz w:val="20"/>
      <w:szCs w:val="20"/>
      <w:lang w:val="en-US" w:eastAsia="en-US"/>
    </w:rPr>
  </w:style>
  <w:style w:type="paragraph" w:customStyle="1" w:styleId="DefaultParagraphFontParaCharCharCharCharChar">
    <w:name w:val="Default Paragraph Font Para Char Char Char Char Char"/>
    <w:autoRedefine/>
    <w:uiPriority w:val="99"/>
    <w:semiHidden/>
    <w:rsid w:val="004E6E1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FootnoteReference">
    <w:name w:val="footnote reference"/>
    <w:uiPriority w:val="99"/>
    <w:semiHidden/>
    <w:unhideWhenUsed/>
    <w:rsid w:val="004E6E1A"/>
    <w:rPr>
      <w:vertAlign w:val="superscript"/>
    </w:rPr>
  </w:style>
  <w:style w:type="character" w:customStyle="1" w:styleId="cls5">
    <w:name w:val="cls_5"/>
    <w:rsid w:val="004E6E1A"/>
  </w:style>
  <w:style w:type="character" w:customStyle="1" w:styleId="cls6">
    <w:name w:val="cls_6"/>
    <w:rsid w:val="004E6E1A"/>
  </w:style>
  <w:style w:type="character" w:customStyle="1" w:styleId="cls8">
    <w:name w:val="cls_8"/>
    <w:rsid w:val="004E6E1A"/>
  </w:style>
  <w:style w:type="character" w:customStyle="1" w:styleId="cls7">
    <w:name w:val="cls_7"/>
    <w:rsid w:val="004E6E1A"/>
  </w:style>
  <w:style w:type="character" w:customStyle="1" w:styleId="cls1">
    <w:name w:val="cls_1"/>
    <w:rsid w:val="004E6E1A"/>
  </w:style>
  <w:style w:type="character" w:customStyle="1" w:styleId="apple-converted-space">
    <w:name w:val="apple-converted-space"/>
    <w:rsid w:val="004E6E1A"/>
  </w:style>
  <w:style w:type="character" w:customStyle="1" w:styleId="link">
    <w:name w:val="link"/>
    <w:basedOn w:val="DefaultParagraphFont"/>
    <w:rsid w:val="004E6E1A"/>
  </w:style>
  <w:style w:type="table" w:styleId="TableGrid">
    <w:name w:val="Table Grid"/>
    <w:basedOn w:val="TableNormal"/>
    <w:rsid w:val="004E6E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4E6E1A"/>
    <w:pPr>
      <w:spacing w:after="0" w:line="240" w:lineRule="auto"/>
    </w:pPr>
    <w:rPr>
      <w:rFonts w:ascii="Times New Roman" w:eastAsia="Arial" w:hAnsi="Times New Roman" w:cs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E6E1A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xl66">
    <w:name w:val="xl66"/>
    <w:basedOn w:val="Normal"/>
    <w:rsid w:val="004E6E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xl67">
    <w:name w:val="xl67"/>
    <w:basedOn w:val="Normal"/>
    <w:rsid w:val="004E6E1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Normal"/>
    <w:rsid w:val="004E6E1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69">
    <w:name w:val="xl69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 w:eastAsia="en-US"/>
    </w:rPr>
  </w:style>
  <w:style w:type="paragraph" w:customStyle="1" w:styleId="xl70">
    <w:name w:val="xl70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 w:eastAsia="en-US"/>
    </w:rPr>
  </w:style>
  <w:style w:type="paragraph" w:customStyle="1" w:styleId="xl71">
    <w:name w:val="xl71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72">
    <w:name w:val="xl72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73">
    <w:name w:val="xl73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74">
    <w:name w:val="xl74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75">
    <w:name w:val="xl75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76">
    <w:name w:val="xl76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78">
    <w:name w:val="xl78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xl79">
    <w:name w:val="xl79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24"/>
      <w:szCs w:val="24"/>
      <w:lang w:val="en-US" w:eastAsia="en-US"/>
    </w:rPr>
  </w:style>
  <w:style w:type="paragraph" w:customStyle="1" w:styleId="xl80">
    <w:name w:val="xl80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81">
    <w:name w:val="xl81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xl82">
    <w:name w:val="xl82"/>
    <w:basedOn w:val="Normal"/>
    <w:rsid w:val="004E6E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xl83">
    <w:name w:val="xl83"/>
    <w:basedOn w:val="Normal"/>
    <w:rsid w:val="004E6E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84">
    <w:name w:val="xl84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85">
    <w:name w:val="xl85"/>
    <w:basedOn w:val="Normal"/>
    <w:rsid w:val="004E6E1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86">
    <w:name w:val="xl86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  <w:lang w:val="en-US" w:eastAsia="en-US"/>
    </w:rPr>
  </w:style>
  <w:style w:type="paragraph" w:customStyle="1" w:styleId="xl87">
    <w:name w:val="xl87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xl88">
    <w:name w:val="xl88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E2F41"/>
      <w:sz w:val="24"/>
      <w:szCs w:val="24"/>
      <w:lang w:val="en-US" w:eastAsia="en-US"/>
    </w:rPr>
  </w:style>
  <w:style w:type="paragraph" w:customStyle="1" w:styleId="xl89">
    <w:name w:val="xl89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E2F41"/>
      <w:sz w:val="24"/>
      <w:szCs w:val="24"/>
      <w:lang w:val="en-US" w:eastAsia="en-US"/>
    </w:rPr>
  </w:style>
  <w:style w:type="paragraph" w:customStyle="1" w:styleId="xl90">
    <w:name w:val="xl90"/>
    <w:basedOn w:val="Normal"/>
    <w:rsid w:val="004E6E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91">
    <w:name w:val="xl91"/>
    <w:basedOn w:val="Normal"/>
    <w:rsid w:val="004E6E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92">
    <w:name w:val="xl92"/>
    <w:basedOn w:val="Normal"/>
    <w:rsid w:val="004E6E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xl93">
    <w:name w:val="xl93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94">
    <w:name w:val="xl94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95">
    <w:name w:val="xl95"/>
    <w:basedOn w:val="Normal"/>
    <w:rsid w:val="004E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96">
    <w:name w:val="xl96"/>
    <w:basedOn w:val="Normal"/>
    <w:rsid w:val="004E6E1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138B9-BD5D-460D-B288-4FBE2168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3495</Words>
  <Characters>19924</Characters>
  <Application>Microsoft Office Word</Application>
  <DocSecurity>0</DocSecurity>
  <Lines>166</Lines>
  <Paragraphs>46</Paragraphs>
  <ScaleCrop>false</ScaleCrop>
  <Company/>
  <LinksUpToDate>false</LinksUpToDate>
  <CharactersWithSpaces>23373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Nhữ Thanh Tùng</cp:lastModifiedBy>
  <cp:revision>6</cp:revision>
  <cp:lastPrinted>2025-12-15T11:31:00Z</cp:lastPrinted>
  <dcterms:created xsi:type="dcterms:W3CDTF">2025-12-15T11:29:00Z</dcterms:created>
  <dcterms:modified xsi:type="dcterms:W3CDTF">2025-12-30T02:17:00Z</dcterms:modified>
</cp:coreProperties>
</file>